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hd w:fill="ffffff" w:val="clear"/>
        <w:spacing w:after="240" w:before="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bookmarkStart w:colFirst="0" w:colLast="0" w:name="_lv0och42vzlu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keepNext w:val="0"/>
        <w:keepLines w:val="0"/>
        <w:shd w:fill="ffffff" w:val="clear"/>
        <w:spacing w:before="0" w:lineRule="auto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bookmarkStart w:colFirst="0" w:colLast="0" w:name="_kswk1hr4oazm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keepNext w:val="0"/>
        <w:keepLines w:val="0"/>
        <w:shd w:fill="ffffff" w:val="clear"/>
        <w:spacing w:before="0" w:lineRule="auto"/>
        <w:rPr>
          <w:rFonts w:ascii="Montserrat" w:cs="Montserrat" w:eastAsia="Montserrat" w:hAnsi="Montserrat"/>
          <w:b w:val="1"/>
          <w:color w:val="004884"/>
          <w:sz w:val="48"/>
          <w:szCs w:val="48"/>
        </w:rPr>
      </w:pPr>
      <w:bookmarkStart w:colFirst="0" w:colLast="0" w:name="_phqy8ncaxzif" w:id="2"/>
      <w:bookmarkEnd w:id="2"/>
      <w:r w:rsidDel="00000000" w:rsidR="00000000" w:rsidRPr="00000000">
        <w:rPr>
          <w:rFonts w:ascii="Montserrat" w:cs="Montserrat" w:eastAsia="Montserrat" w:hAnsi="Montserrat"/>
          <w:b w:val="1"/>
          <w:color w:val="004884"/>
          <w:sz w:val="48"/>
          <w:szCs w:val="48"/>
          <w:rtl w:val="0"/>
        </w:rPr>
        <w:t xml:space="preserve">Bogotá aclara restricciones horarias para billares en el Decreto 293 de 2025</w:t>
      </w:r>
    </w:p>
    <w:p w:rsidR="00000000" w:rsidDel="00000000" w:rsidP="00000000" w:rsidRDefault="00000000" w:rsidRPr="00000000" w14:paraId="00000004">
      <w:pPr>
        <w:ind w:left="-180" w:right="-180" w:firstLine="0"/>
        <w:rPr>
          <w:rFonts w:ascii="Montserrat" w:cs="Montserrat" w:eastAsia="Montserrat" w:hAnsi="Montserrat"/>
          <w:b w:val="1"/>
          <w:color w:val="004884"/>
          <w:sz w:val="48"/>
          <w:szCs w:val="48"/>
        </w:rPr>
      </w:pPr>
      <w:r w:rsidDel="00000000" w:rsidR="00000000" w:rsidRPr="00000000">
        <w:rPr>
          <w:rFonts w:ascii="Montserrat" w:cs="Montserrat" w:eastAsia="Montserrat" w:hAnsi="Montserrat"/>
          <w:b w:val="1"/>
          <w:color w:val="004884"/>
          <w:sz w:val="48"/>
          <w:szCs w:val="48"/>
        </w:rPr>
        <w:drawing>
          <wp:inline distB="114300" distT="114300" distL="114300" distR="114300">
            <wp:extent cx="5731200" cy="3225800"/>
            <wp:effectExtent b="0" l="0" r="0" t="0"/>
            <wp:docPr descr="Bogotá aclara restricciones horarias para billares en el Decreto 293 de 2025" id="1" name="image1.png"/>
            <a:graphic>
              <a:graphicData uri="http://schemas.openxmlformats.org/drawingml/2006/picture">
                <pic:pic>
                  <pic:nvPicPr>
                    <pic:cNvPr descr="Bogotá aclara restricciones horarias para billares en el Decreto 293 de 2025"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225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Bogotá aclara restricciones horarias para billares en el Decreto 293 de 2025</w:t>
      </w:r>
    </w:p>
    <w:p w:rsidR="00000000" w:rsidDel="00000000" w:rsidP="00000000" w:rsidRDefault="00000000" w:rsidRPr="00000000" w14:paraId="00000006">
      <w:pPr>
        <w:ind w:left="-180" w:right="-180" w:firstLine="0"/>
        <w:jc w:val="both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Bogotá aclara restricciones horarias para billares en el Decreto 293 de 2025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-180" w:right="-180" w:firstLine="0"/>
        <w:rPr>
          <w:rFonts w:ascii="Roboto" w:cs="Roboto" w:eastAsia="Roboto" w:hAnsi="Roboto"/>
          <w:b w:val="1"/>
          <w:i w:val="1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i w:val="1"/>
          <w:color w:val="212529"/>
          <w:sz w:val="24"/>
          <w:szCs w:val="24"/>
          <w:highlight w:val="white"/>
          <w:rtl w:val="0"/>
        </w:rPr>
        <w:t xml:space="preserve">Viviana Triana</w:t>
      </w:r>
    </w:p>
    <w:p w:rsidR="00000000" w:rsidDel="00000000" w:rsidP="00000000" w:rsidRDefault="00000000" w:rsidRPr="00000000" w14:paraId="00000008">
      <w:pPr>
        <w:ind w:left="-180" w:right="-180" w:firstLine="0"/>
        <w:jc w:val="right"/>
        <w:rPr>
          <w:rFonts w:ascii="Roboto" w:cs="Roboto" w:eastAsia="Roboto" w:hAnsi="Roboto"/>
          <w:i w:val="1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color w:val="212529"/>
          <w:sz w:val="24"/>
          <w:szCs w:val="24"/>
          <w:highlight w:val="white"/>
          <w:rtl w:val="0"/>
        </w:rPr>
        <w:t xml:space="preserve">07/07/2025</w:t>
      </w:r>
    </w:p>
    <w:p w:rsidR="00000000" w:rsidDel="00000000" w:rsidP="00000000" w:rsidRDefault="00000000" w:rsidRPr="00000000" w14:paraId="00000009">
      <w:pPr>
        <w:spacing w:after="24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  <w:u w:val="single"/>
        </w:rPr>
      </w:pP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Bogotá, 7 de julio de 2025. La Secretaría Distrital de Gobierno informa a la ciudadanía que se ha emitido una respuesta conjunta a más de 300 derechos de petición presentados por personas y organizaciones del gremio de billaristas, en relación con </w:t>
      </w: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u w:val="single"/>
          <w:rtl w:val="0"/>
        </w:rPr>
        <w:t xml:space="preserve">las disposiciones del Decreto 293 de 2025, que regula el expendio y consumo de bebidas alcohólicas en Bogotá.</w:t>
      </w:r>
    </w:p>
    <w:p w:rsidR="00000000" w:rsidDel="00000000" w:rsidP="00000000" w:rsidRDefault="00000000" w:rsidRPr="00000000" w14:paraId="0000000A">
      <w:pPr>
        <w:spacing w:after="24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Esta respuesta oficial aclara las inquietudes frente a las restricciones horarias contempladas en el decreto, el cual establece un horario general para el expendio y consumo de licor en Bogotá hasta las 11:59 p.m. Además, se reitera que los bares y discotecas tienen un régimen especial que les permite operar entre las 10:00 a.m. y las 3:00 a.m. del día siguiente.</w:t>
      </w:r>
    </w:p>
    <w:p w:rsidR="00000000" w:rsidDel="00000000" w:rsidP="00000000" w:rsidRDefault="00000000" w:rsidRPr="00000000" w14:paraId="0000000B">
      <w:pPr>
        <w:spacing w:after="24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Es importante destacar que, aunque algunos establecimientos de billar desarrollan actividades de tipo recreativo o deportivo, estos no se clasifican dentro de las categorías de bares o discotecas y, por tanto, no aplican para el régimen de excepción previsto en el decreto.</w:t>
      </w:r>
    </w:p>
    <w:p w:rsidR="00000000" w:rsidDel="00000000" w:rsidP="00000000" w:rsidRDefault="00000000" w:rsidRPr="00000000" w14:paraId="0000000C">
      <w:pPr>
        <w:spacing w:after="24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El proyecto normativo fue sometido a consulta ciudadana a través de la plataforma LegalBog Participa entre el 15 y el 24 de abril de 2025. Durante este proceso se recibieron 230 observaciones, muchas de ellas relacionadas con temas de convivencia, regulación horaria y orden público.</w:t>
      </w:r>
    </w:p>
    <w:p w:rsidR="00000000" w:rsidDel="00000000" w:rsidP="00000000" w:rsidRDefault="00000000" w:rsidRPr="00000000" w14:paraId="0000000D">
      <w:pPr>
        <w:spacing w:after="24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La publicación de esta respuesta conjunta se realiza en cumplimiento de la normatividad vigente, que permite a las entidades públicas responder de manera unificada cuando se reciben múltiples solicitudes sobre un mismo tema. Con esto, se garantiza el acceso a la información, la transparencia institucional y el adecuado uso de los mecanismos jurídicos disponibles.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ontserrat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Montserrat-regular.ttf"/><Relationship Id="rId6" Type="http://schemas.openxmlformats.org/officeDocument/2006/relationships/font" Target="fonts/Montserrat-bold.ttf"/><Relationship Id="rId7" Type="http://schemas.openxmlformats.org/officeDocument/2006/relationships/font" Target="fonts/Montserrat-italic.ttf"/><Relationship Id="rId8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